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40" w:type="dxa"/>
        <w:tblInd w:w="279" w:type="dxa"/>
        <w:tblBorders>
          <w:top w:val="single" w:sz="4" w:space="0" w:color="EC5E5E"/>
          <w:left w:val="single" w:sz="4" w:space="0" w:color="EC5E5E"/>
          <w:bottom w:val="single" w:sz="4" w:space="0" w:color="EC5E5E"/>
          <w:insideV w:val="single" w:sz="4" w:space="0" w:color="EC5E5E"/>
        </w:tblBorders>
        <w:tblLayout w:type="fixed"/>
        <w:tblCellMar>
          <w:left w:w="70" w:type="dxa"/>
          <w:right w:w="70" w:type="dxa"/>
        </w:tblCellMar>
        <w:tblLook w:val="0000" w:firstRow="0" w:lastRow="0" w:firstColumn="0" w:lastColumn="0" w:noHBand="0" w:noVBand="0"/>
      </w:tblPr>
      <w:tblGrid>
        <w:gridCol w:w="2608"/>
        <w:gridCol w:w="8732"/>
      </w:tblGrid>
      <w:tr w:rsidR="00C77268" w:rsidRPr="007C00DC" w14:paraId="40C051FC" w14:textId="77777777" w:rsidTr="007C00DC">
        <w:trPr>
          <w:trHeight w:val="18848"/>
        </w:trPr>
        <w:tc>
          <w:tcPr>
            <w:tcW w:w="2608" w:type="dxa"/>
          </w:tcPr>
          <w:p w14:paraId="4A59DEC4" w14:textId="77777777" w:rsidR="00D953DD" w:rsidRPr="007C00DC" w:rsidRDefault="00D953DD" w:rsidP="00A01BFE">
            <w:pPr>
              <w:pStyle w:val="EprovincedeQubec"/>
            </w:pPr>
          </w:p>
          <w:p w14:paraId="51DE94B8" w14:textId="77777777" w:rsidR="00C77268" w:rsidRPr="007C00DC" w:rsidRDefault="000E26D9" w:rsidP="00D953DD">
            <w:pPr>
              <w:pStyle w:val="EprovincedeQubec"/>
              <w:rPr>
                <w:b/>
                <w:bCs/>
              </w:rPr>
            </w:pPr>
            <w:r w:rsidRPr="007C00DC">
              <w:rPr>
                <w:b/>
                <w:bCs/>
              </w:rPr>
              <w:t>Province de québec</w:t>
            </w:r>
          </w:p>
          <w:p w14:paraId="33E3285E" w14:textId="77777777" w:rsidR="000E26D9" w:rsidRPr="007C00DC" w:rsidRDefault="000E26D9" w:rsidP="00D953DD">
            <w:pPr>
              <w:pStyle w:val="EprovincedeQubec"/>
              <w:rPr>
                <w:b/>
                <w:bCs/>
              </w:rPr>
            </w:pPr>
            <w:r w:rsidRPr="007C00DC">
              <w:rPr>
                <w:b/>
                <w:bCs/>
              </w:rPr>
              <w:t>comté de papineau</w:t>
            </w:r>
          </w:p>
          <w:p w14:paraId="74C3F1FF" w14:textId="21B4B3AD" w:rsidR="000E26D9" w:rsidRPr="007C00DC" w:rsidRDefault="00406BB0" w:rsidP="00D953DD">
            <w:pPr>
              <w:pStyle w:val="EprovincedeQubec"/>
            </w:pPr>
            <w:r w:rsidRPr="007C00DC">
              <w:rPr>
                <w:b/>
                <w:bCs/>
              </w:rPr>
              <w:t>Municipalité de Plaisance</w:t>
            </w:r>
          </w:p>
        </w:tc>
        <w:tc>
          <w:tcPr>
            <w:tcW w:w="8732" w:type="dxa"/>
          </w:tcPr>
          <w:p w14:paraId="53D0A07B" w14:textId="77777777" w:rsidR="0081291E" w:rsidRDefault="0081291E" w:rsidP="0081291E">
            <w:pPr>
              <w:tabs>
                <w:tab w:val="left" w:pos="1560"/>
              </w:tabs>
              <w:ind w:right="6"/>
              <w:jc w:val="both"/>
              <w:rPr>
                <w:b/>
                <w:u w:val="single"/>
              </w:rPr>
            </w:pPr>
          </w:p>
          <w:p w14:paraId="73B62E59" w14:textId="0AB586DA" w:rsidR="0081291E" w:rsidRDefault="00212633" w:rsidP="0081291E">
            <w:pPr>
              <w:tabs>
                <w:tab w:val="left" w:pos="1560"/>
              </w:tabs>
              <w:ind w:right="6"/>
              <w:jc w:val="both"/>
              <w:rPr>
                <w:b/>
                <w:u w:val="single"/>
              </w:rPr>
            </w:pPr>
            <w:r>
              <w:rPr>
                <w:b/>
                <w:u w:val="single"/>
              </w:rPr>
              <w:t>R</w:t>
            </w:r>
            <w:r w:rsidR="0081291E">
              <w:rPr>
                <w:b/>
                <w:u w:val="single"/>
              </w:rPr>
              <w:t>èglement #466-23 - Règlement parapluie</w:t>
            </w:r>
          </w:p>
          <w:p w14:paraId="2F1CFC0D" w14:textId="77777777" w:rsidR="0081291E" w:rsidRDefault="0081291E" w:rsidP="0081291E">
            <w:pPr>
              <w:tabs>
                <w:tab w:val="left" w:pos="1560"/>
              </w:tabs>
              <w:ind w:right="6"/>
              <w:jc w:val="both"/>
              <w:rPr>
                <w:b/>
                <w:u w:val="single"/>
              </w:rPr>
            </w:pPr>
          </w:p>
          <w:p w14:paraId="05FE51F9" w14:textId="77777777" w:rsidR="0081291E" w:rsidRPr="00F711B7" w:rsidRDefault="0081291E" w:rsidP="0081291E">
            <w:pPr>
              <w:jc w:val="both"/>
              <w:rPr>
                <w:szCs w:val="24"/>
                <w:lang w:val="fr-FR"/>
              </w:rPr>
            </w:pPr>
            <w:r w:rsidRPr="00FF7840">
              <w:rPr>
                <w:bCs/>
                <w:szCs w:val="24"/>
                <w:lang w:val="fr-FR"/>
              </w:rPr>
              <w:t>ATTENDU</w:t>
            </w:r>
            <w:r w:rsidRPr="00F711B7">
              <w:rPr>
                <w:szCs w:val="24"/>
                <w:lang w:val="fr-FR"/>
              </w:rPr>
              <w:t xml:space="preserve"> que la Municipalité de Plaisance désire se prévaloir du pouvoir prévu au</w:t>
            </w:r>
            <w:r w:rsidRPr="00F711B7">
              <w:rPr>
                <w:b/>
                <w:szCs w:val="24"/>
                <w:lang w:val="fr-FR"/>
              </w:rPr>
              <w:t xml:space="preserve"> </w:t>
            </w:r>
            <w:r w:rsidRPr="00F711B7">
              <w:rPr>
                <w:szCs w:val="24"/>
                <w:lang w:val="fr-FR"/>
              </w:rPr>
              <w:t>deuxième alinéa à l’article 544 de la Loi sur les cités et villes ou au deuxième alinéa à l’article</w:t>
            </w:r>
            <w:r w:rsidRPr="00F711B7">
              <w:rPr>
                <w:b/>
                <w:szCs w:val="24"/>
                <w:lang w:val="fr-FR"/>
              </w:rPr>
              <w:t xml:space="preserve"> </w:t>
            </w:r>
            <w:r w:rsidRPr="00F711B7">
              <w:rPr>
                <w:szCs w:val="24"/>
                <w:lang w:val="fr-FR"/>
              </w:rPr>
              <w:t>1063 du Code municipal du Québec.</w:t>
            </w:r>
          </w:p>
          <w:p w14:paraId="089B695E" w14:textId="77777777" w:rsidR="0081291E" w:rsidRPr="00F711B7" w:rsidRDefault="0081291E" w:rsidP="0081291E">
            <w:pPr>
              <w:jc w:val="both"/>
              <w:rPr>
                <w:szCs w:val="24"/>
                <w:lang w:val="fr-FR"/>
              </w:rPr>
            </w:pPr>
          </w:p>
          <w:p w14:paraId="4D25FF8F" w14:textId="77777777" w:rsidR="0081291E" w:rsidRPr="00F711B7" w:rsidRDefault="0081291E" w:rsidP="0081291E">
            <w:pPr>
              <w:jc w:val="both"/>
              <w:rPr>
                <w:szCs w:val="24"/>
                <w:lang w:val="fr-FR"/>
              </w:rPr>
            </w:pPr>
            <w:r w:rsidRPr="00FF7840">
              <w:rPr>
                <w:bCs/>
                <w:szCs w:val="24"/>
                <w:lang w:val="fr-FR"/>
              </w:rPr>
              <w:t>ATTENDU</w:t>
            </w:r>
            <w:r w:rsidRPr="00F711B7">
              <w:rPr>
                <w:szCs w:val="24"/>
                <w:lang w:val="fr-FR"/>
              </w:rPr>
              <w:t xml:space="preserve"> que l’avis de motion du présent règlement a été dûment donné lors de la séance du conseil tenue le </w:t>
            </w:r>
            <w:r>
              <w:rPr>
                <w:szCs w:val="24"/>
                <w:lang w:val="fr-FR"/>
              </w:rPr>
              <w:t>6</w:t>
            </w:r>
            <w:r w:rsidRPr="00F711B7">
              <w:rPr>
                <w:szCs w:val="24"/>
                <w:lang w:val="fr-FR"/>
              </w:rPr>
              <w:t xml:space="preserve"> </w:t>
            </w:r>
            <w:r>
              <w:rPr>
                <w:szCs w:val="24"/>
                <w:lang w:val="fr-FR"/>
              </w:rPr>
              <w:t>novembre</w:t>
            </w:r>
            <w:r w:rsidRPr="00F711B7">
              <w:rPr>
                <w:szCs w:val="24"/>
                <w:lang w:val="fr-FR"/>
              </w:rPr>
              <w:t xml:space="preserve"> 20</w:t>
            </w:r>
            <w:r>
              <w:rPr>
                <w:szCs w:val="24"/>
                <w:lang w:val="fr-FR"/>
              </w:rPr>
              <w:t>23</w:t>
            </w:r>
            <w:r w:rsidRPr="00F711B7">
              <w:rPr>
                <w:szCs w:val="24"/>
                <w:lang w:val="fr-FR"/>
              </w:rPr>
              <w:t>.</w:t>
            </w:r>
          </w:p>
          <w:p w14:paraId="45C9E492" w14:textId="77777777" w:rsidR="0081291E" w:rsidRPr="00F711B7" w:rsidRDefault="0081291E" w:rsidP="0081291E">
            <w:pPr>
              <w:ind w:left="1276" w:hanging="1276"/>
              <w:jc w:val="both"/>
              <w:rPr>
                <w:szCs w:val="24"/>
                <w:lang w:val="fr-FR"/>
              </w:rPr>
            </w:pPr>
          </w:p>
          <w:p w14:paraId="6D5283C9" w14:textId="33379217" w:rsidR="0081291E" w:rsidRDefault="0081291E" w:rsidP="0081291E">
            <w:pPr>
              <w:tabs>
                <w:tab w:val="left" w:pos="1134"/>
              </w:tabs>
              <w:ind w:right="6"/>
              <w:jc w:val="both"/>
            </w:pPr>
            <w:r w:rsidRPr="00F711B7">
              <w:t xml:space="preserve">Il est proposé par </w:t>
            </w:r>
            <w:r>
              <w:t>M</w:t>
            </w:r>
            <w:r w:rsidR="00212633">
              <w:t>onsieur le conseiller Nil Béland</w:t>
            </w:r>
          </w:p>
          <w:p w14:paraId="1196B28E" w14:textId="77777777" w:rsidR="0081291E" w:rsidRPr="00F711B7" w:rsidRDefault="0081291E" w:rsidP="0081291E">
            <w:pPr>
              <w:tabs>
                <w:tab w:val="left" w:pos="1134"/>
              </w:tabs>
              <w:ind w:right="6"/>
              <w:jc w:val="both"/>
              <w:rPr>
                <w:szCs w:val="24"/>
              </w:rPr>
            </w:pPr>
          </w:p>
          <w:p w14:paraId="5D4CA0DD" w14:textId="77777777" w:rsidR="0081291E" w:rsidRPr="00F711B7" w:rsidRDefault="0081291E" w:rsidP="0081291E">
            <w:pPr>
              <w:jc w:val="both"/>
              <w:rPr>
                <w:szCs w:val="24"/>
                <w:lang w:val="fr-FR"/>
              </w:rPr>
            </w:pPr>
            <w:r w:rsidRPr="00F711B7">
              <w:rPr>
                <w:szCs w:val="24"/>
                <w:lang w:val="fr-FR"/>
              </w:rPr>
              <w:t>Le conseil décrète ce qui suit :</w:t>
            </w:r>
          </w:p>
          <w:p w14:paraId="5FC42FBA" w14:textId="77777777" w:rsidR="0081291E" w:rsidRPr="00F711B7" w:rsidRDefault="0081291E" w:rsidP="0081291E">
            <w:pPr>
              <w:jc w:val="both"/>
              <w:rPr>
                <w:szCs w:val="24"/>
                <w:lang w:val="fr-FR"/>
              </w:rPr>
            </w:pPr>
          </w:p>
          <w:p w14:paraId="0467CC90" w14:textId="77777777" w:rsidR="0081291E" w:rsidRPr="00F711B7" w:rsidRDefault="0081291E" w:rsidP="0081291E">
            <w:pPr>
              <w:tabs>
                <w:tab w:val="left" w:pos="1701"/>
              </w:tabs>
              <w:ind w:left="1701" w:hanging="1701"/>
              <w:jc w:val="both"/>
              <w:rPr>
                <w:szCs w:val="24"/>
                <w:lang w:val="fr-FR"/>
              </w:rPr>
            </w:pPr>
            <w:r w:rsidRPr="00F711B7">
              <w:rPr>
                <w:b/>
                <w:szCs w:val="24"/>
                <w:lang w:val="fr-FR"/>
              </w:rPr>
              <w:t>ARTICLE 1</w:t>
            </w:r>
            <w:r w:rsidRPr="00F711B7">
              <w:rPr>
                <w:szCs w:val="24"/>
                <w:lang w:val="fr-FR"/>
              </w:rPr>
              <w:t>.</w:t>
            </w:r>
            <w:r w:rsidRPr="00F711B7">
              <w:rPr>
                <w:szCs w:val="24"/>
                <w:lang w:val="fr-FR"/>
              </w:rPr>
              <w:tab/>
              <w:t xml:space="preserve">Le conseil est autorisé à effectuer des dépenses en immobilisations pour un montant total de </w:t>
            </w:r>
            <w:r>
              <w:rPr>
                <w:szCs w:val="24"/>
                <w:lang w:val="fr-FR"/>
              </w:rPr>
              <w:t>76 600</w:t>
            </w:r>
            <w:r w:rsidRPr="00F711B7">
              <w:rPr>
                <w:szCs w:val="24"/>
                <w:lang w:val="fr-FR"/>
              </w:rPr>
              <w:t>$ réparti de la façon suivante :</w:t>
            </w:r>
          </w:p>
          <w:tbl>
            <w:tblPr>
              <w:tblW w:w="0" w:type="auto"/>
              <w:tblInd w:w="1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8"/>
              <w:gridCol w:w="4436"/>
            </w:tblGrid>
            <w:tr w:rsidR="0081291E" w:rsidRPr="00F711B7" w14:paraId="23321E29" w14:textId="77777777" w:rsidTr="00212633">
              <w:tc>
                <w:tcPr>
                  <w:tcW w:w="2368" w:type="dxa"/>
                </w:tcPr>
                <w:p w14:paraId="59216418" w14:textId="77777777" w:rsidR="0081291E" w:rsidRPr="00F711B7" w:rsidRDefault="0081291E" w:rsidP="0081291E">
                  <w:pPr>
                    <w:jc w:val="both"/>
                    <w:rPr>
                      <w:b/>
                      <w:szCs w:val="24"/>
                    </w:rPr>
                  </w:pPr>
                  <w:r w:rsidRPr="00F711B7">
                    <w:rPr>
                      <w:b/>
                      <w:szCs w:val="24"/>
                    </w:rPr>
                    <w:t>Description</w:t>
                  </w:r>
                </w:p>
              </w:tc>
              <w:tc>
                <w:tcPr>
                  <w:tcW w:w="4436" w:type="dxa"/>
                </w:tcPr>
                <w:p w14:paraId="7109E20E" w14:textId="77777777" w:rsidR="0081291E" w:rsidRPr="00F711B7" w:rsidRDefault="0081291E" w:rsidP="0081291E">
                  <w:pPr>
                    <w:jc w:val="center"/>
                    <w:rPr>
                      <w:b/>
                      <w:szCs w:val="24"/>
                    </w:rPr>
                  </w:pPr>
                  <w:r w:rsidRPr="00F711B7">
                    <w:rPr>
                      <w:b/>
                      <w:szCs w:val="24"/>
                    </w:rPr>
                    <w:t>Total</w:t>
                  </w:r>
                </w:p>
              </w:tc>
            </w:tr>
            <w:tr w:rsidR="0081291E" w:rsidRPr="001A5353" w14:paraId="486E1CC1" w14:textId="77777777" w:rsidTr="00212633">
              <w:tc>
                <w:tcPr>
                  <w:tcW w:w="2368" w:type="dxa"/>
                </w:tcPr>
                <w:p w14:paraId="54BBD419" w14:textId="77777777" w:rsidR="0081291E" w:rsidRPr="00796E71" w:rsidRDefault="0081291E" w:rsidP="0081291E">
                  <w:pPr>
                    <w:jc w:val="both"/>
                    <w:rPr>
                      <w:szCs w:val="24"/>
                    </w:rPr>
                  </w:pPr>
                  <w:r w:rsidRPr="00796E71">
                    <w:rPr>
                      <w:szCs w:val="24"/>
                    </w:rPr>
                    <w:t>Remorque</w:t>
                  </w:r>
                </w:p>
              </w:tc>
              <w:tc>
                <w:tcPr>
                  <w:tcW w:w="4436" w:type="dxa"/>
                </w:tcPr>
                <w:p w14:paraId="44C4AEAE" w14:textId="77777777" w:rsidR="0081291E" w:rsidRPr="00796E71" w:rsidRDefault="0081291E" w:rsidP="0081291E">
                  <w:pPr>
                    <w:jc w:val="right"/>
                    <w:rPr>
                      <w:szCs w:val="24"/>
                    </w:rPr>
                  </w:pPr>
                  <w:r w:rsidRPr="00796E71">
                    <w:rPr>
                      <w:szCs w:val="24"/>
                    </w:rPr>
                    <w:t>5 600$</w:t>
                  </w:r>
                </w:p>
              </w:tc>
            </w:tr>
            <w:tr w:rsidR="0081291E" w:rsidRPr="001A5353" w14:paraId="3662C1D3" w14:textId="77777777" w:rsidTr="00212633">
              <w:tc>
                <w:tcPr>
                  <w:tcW w:w="2368" w:type="dxa"/>
                </w:tcPr>
                <w:p w14:paraId="43520642" w14:textId="77777777" w:rsidR="0081291E" w:rsidRPr="00796E71" w:rsidRDefault="0081291E" w:rsidP="0081291E">
                  <w:pPr>
                    <w:jc w:val="both"/>
                    <w:rPr>
                      <w:szCs w:val="24"/>
                    </w:rPr>
                  </w:pPr>
                  <w:r w:rsidRPr="00796E71">
                    <w:rPr>
                      <w:szCs w:val="24"/>
                    </w:rPr>
                    <w:t>Jeux d’eau</w:t>
                  </w:r>
                </w:p>
              </w:tc>
              <w:tc>
                <w:tcPr>
                  <w:tcW w:w="4436" w:type="dxa"/>
                </w:tcPr>
                <w:p w14:paraId="3CC6EC44" w14:textId="77777777" w:rsidR="0081291E" w:rsidRPr="00796E71" w:rsidRDefault="0081291E" w:rsidP="0081291E">
                  <w:pPr>
                    <w:jc w:val="right"/>
                    <w:rPr>
                      <w:szCs w:val="24"/>
                    </w:rPr>
                  </w:pPr>
                  <w:r w:rsidRPr="00796E71">
                    <w:rPr>
                      <w:szCs w:val="24"/>
                    </w:rPr>
                    <w:t>71 000$</w:t>
                  </w:r>
                </w:p>
              </w:tc>
            </w:tr>
            <w:tr w:rsidR="0081291E" w:rsidRPr="00F711B7" w14:paraId="6A00F78A" w14:textId="77777777" w:rsidTr="00212633">
              <w:tc>
                <w:tcPr>
                  <w:tcW w:w="2368" w:type="dxa"/>
                </w:tcPr>
                <w:p w14:paraId="05B27C52" w14:textId="77777777" w:rsidR="0081291E" w:rsidRPr="00796E71" w:rsidRDefault="0081291E" w:rsidP="0081291E">
                  <w:pPr>
                    <w:jc w:val="both"/>
                    <w:rPr>
                      <w:b/>
                      <w:szCs w:val="24"/>
                    </w:rPr>
                  </w:pPr>
                  <w:r w:rsidRPr="00796E71">
                    <w:rPr>
                      <w:b/>
                      <w:szCs w:val="24"/>
                    </w:rPr>
                    <w:t>Total</w:t>
                  </w:r>
                </w:p>
              </w:tc>
              <w:tc>
                <w:tcPr>
                  <w:tcW w:w="4436" w:type="dxa"/>
                </w:tcPr>
                <w:p w14:paraId="2B57FFE6" w14:textId="77777777" w:rsidR="0081291E" w:rsidRPr="00796E71" w:rsidRDefault="0081291E" w:rsidP="0081291E">
                  <w:pPr>
                    <w:jc w:val="right"/>
                    <w:rPr>
                      <w:b/>
                      <w:szCs w:val="24"/>
                    </w:rPr>
                  </w:pPr>
                  <w:r w:rsidRPr="00796E71">
                    <w:rPr>
                      <w:b/>
                      <w:szCs w:val="24"/>
                    </w:rPr>
                    <w:t>76 600$</w:t>
                  </w:r>
                </w:p>
              </w:tc>
            </w:tr>
          </w:tbl>
          <w:p w14:paraId="422552EF" w14:textId="77777777" w:rsidR="0081291E" w:rsidRPr="00F711B7" w:rsidRDefault="0081291E" w:rsidP="0081291E">
            <w:pPr>
              <w:jc w:val="both"/>
              <w:rPr>
                <w:szCs w:val="24"/>
              </w:rPr>
            </w:pPr>
          </w:p>
          <w:p w14:paraId="2CEB6095" w14:textId="77777777" w:rsidR="0081291E" w:rsidRPr="00F711B7" w:rsidRDefault="0081291E" w:rsidP="0081291E">
            <w:pPr>
              <w:tabs>
                <w:tab w:val="left" w:pos="1701"/>
              </w:tabs>
              <w:ind w:left="1701" w:hanging="1701"/>
              <w:jc w:val="both"/>
              <w:rPr>
                <w:szCs w:val="24"/>
                <w:lang w:val="fr-FR"/>
              </w:rPr>
            </w:pPr>
            <w:r w:rsidRPr="00F711B7">
              <w:rPr>
                <w:b/>
                <w:szCs w:val="24"/>
                <w:lang w:val="fr-FR"/>
              </w:rPr>
              <w:t>ARTICLE 2</w:t>
            </w:r>
            <w:r w:rsidRPr="00F711B7">
              <w:rPr>
                <w:szCs w:val="24"/>
                <w:lang w:val="fr-FR"/>
              </w:rPr>
              <w:t>.</w:t>
            </w:r>
            <w:r w:rsidRPr="00F711B7">
              <w:rPr>
                <w:szCs w:val="24"/>
                <w:lang w:val="fr-FR"/>
              </w:rPr>
              <w:tab/>
              <w:t xml:space="preserve">Aux fins d’acquitter les dépenses prévues par le présent règlement, le conseil est donc autorisé à emprunter un montant de </w:t>
            </w:r>
            <w:r>
              <w:rPr>
                <w:szCs w:val="24"/>
                <w:lang w:val="fr-FR"/>
              </w:rPr>
              <w:t>76 600</w:t>
            </w:r>
            <w:r w:rsidRPr="00F711B7">
              <w:rPr>
                <w:szCs w:val="24"/>
                <w:lang w:val="fr-FR"/>
              </w:rPr>
              <w:t xml:space="preserve">$ sur une période de </w:t>
            </w:r>
            <w:r>
              <w:rPr>
                <w:szCs w:val="24"/>
                <w:lang w:val="fr-FR"/>
              </w:rPr>
              <w:t>15</w:t>
            </w:r>
            <w:r w:rsidRPr="00F711B7">
              <w:rPr>
                <w:szCs w:val="24"/>
                <w:lang w:val="fr-FR"/>
              </w:rPr>
              <w:t xml:space="preserve"> ans.</w:t>
            </w:r>
          </w:p>
          <w:p w14:paraId="5CE51216" w14:textId="77777777" w:rsidR="0081291E" w:rsidRPr="00F711B7" w:rsidRDefault="0081291E" w:rsidP="0081291E">
            <w:pPr>
              <w:ind w:left="1701" w:hanging="1701"/>
              <w:jc w:val="both"/>
              <w:rPr>
                <w:szCs w:val="24"/>
                <w:lang w:val="fr-FR"/>
              </w:rPr>
            </w:pPr>
          </w:p>
          <w:p w14:paraId="5AF3CDA7" w14:textId="77777777" w:rsidR="0081291E" w:rsidRPr="00F711B7" w:rsidRDefault="0081291E" w:rsidP="0081291E">
            <w:pPr>
              <w:tabs>
                <w:tab w:val="left" w:pos="1701"/>
              </w:tabs>
              <w:ind w:left="1701" w:hanging="1701"/>
              <w:jc w:val="both"/>
              <w:rPr>
                <w:szCs w:val="24"/>
                <w:lang w:val="fr-FR"/>
              </w:rPr>
            </w:pPr>
            <w:r w:rsidRPr="00F711B7">
              <w:rPr>
                <w:b/>
                <w:szCs w:val="24"/>
                <w:lang w:val="fr-FR"/>
              </w:rPr>
              <w:t>ARTICLE 3</w:t>
            </w:r>
            <w:r w:rsidRPr="00F711B7">
              <w:rPr>
                <w:szCs w:val="24"/>
                <w:lang w:val="fr-FR"/>
              </w:rPr>
              <w:t>.</w:t>
            </w:r>
            <w:r w:rsidRPr="00F711B7">
              <w:rPr>
                <w:szCs w:val="24"/>
                <w:lang w:val="fr-FR"/>
              </w:rPr>
              <w:tab/>
              <w:t>Pour pourvoir aux dépenses engagées relativement aux intérêts et au remboursement en capital des échéances annuelles de l’emprunt, il est par le présent règlement imposé et il sera prélevé, annuellement, durant le terme de l’emprunt, sur tous les immeubles imposables sur le territoire de la municipalité, une taxe spéciale à un taux suffisant d’après leur valeur telle qu’elle apparaît au rôle d’évaluation en vigueur chaque année.</w:t>
            </w:r>
          </w:p>
          <w:p w14:paraId="56255C94" w14:textId="77777777" w:rsidR="0081291E" w:rsidRPr="00F711B7" w:rsidRDefault="0081291E" w:rsidP="0081291E">
            <w:pPr>
              <w:ind w:left="1701" w:hanging="1701"/>
              <w:jc w:val="both"/>
              <w:rPr>
                <w:szCs w:val="24"/>
                <w:lang w:val="fr-FR"/>
              </w:rPr>
            </w:pPr>
          </w:p>
          <w:p w14:paraId="725D7C98" w14:textId="77777777" w:rsidR="0081291E" w:rsidRPr="00F711B7" w:rsidRDefault="0081291E" w:rsidP="0081291E">
            <w:pPr>
              <w:tabs>
                <w:tab w:val="left" w:pos="1701"/>
              </w:tabs>
              <w:ind w:left="1701" w:hanging="1701"/>
              <w:jc w:val="both"/>
              <w:rPr>
                <w:szCs w:val="24"/>
                <w:lang w:val="fr-FR"/>
              </w:rPr>
            </w:pPr>
            <w:r w:rsidRPr="00F711B7">
              <w:rPr>
                <w:b/>
                <w:szCs w:val="24"/>
                <w:lang w:val="fr-FR"/>
              </w:rPr>
              <w:t>ARTICLE 4</w:t>
            </w:r>
            <w:r w:rsidRPr="00F711B7">
              <w:rPr>
                <w:szCs w:val="24"/>
                <w:lang w:val="fr-FR"/>
              </w:rPr>
              <w:t>.</w:t>
            </w:r>
            <w:r w:rsidRPr="00F711B7">
              <w:rPr>
                <w:szCs w:val="24"/>
                <w:lang w:val="fr-FR"/>
              </w:rPr>
              <w:tab/>
              <w:t>S’il advient que le montant d’une affectation autorisée par le présent règlement est plus élevé que le montant effectivement dépensé en rapport avec cette affectation, le conseil est autorisé à faire emploi de cet excédent pour payer toute autre dépense décrétée par le présent règlement et pour laquelle l’affectation s’avérerait insuffisante.</w:t>
            </w:r>
          </w:p>
          <w:p w14:paraId="0781C377" w14:textId="77777777" w:rsidR="0081291E" w:rsidRPr="00F711B7" w:rsidRDefault="0081291E" w:rsidP="0081291E">
            <w:pPr>
              <w:ind w:left="1701" w:hanging="1701"/>
              <w:jc w:val="both"/>
              <w:rPr>
                <w:szCs w:val="24"/>
                <w:lang w:val="fr-FR"/>
              </w:rPr>
            </w:pPr>
          </w:p>
          <w:p w14:paraId="1834639B" w14:textId="77777777" w:rsidR="0081291E" w:rsidRPr="00F711B7" w:rsidRDefault="0081291E" w:rsidP="0081291E">
            <w:pPr>
              <w:tabs>
                <w:tab w:val="left" w:pos="1701"/>
              </w:tabs>
              <w:ind w:left="1701" w:hanging="1701"/>
              <w:jc w:val="both"/>
              <w:rPr>
                <w:szCs w:val="24"/>
                <w:lang w:val="fr-FR"/>
              </w:rPr>
            </w:pPr>
            <w:r w:rsidRPr="00F711B7">
              <w:rPr>
                <w:b/>
                <w:szCs w:val="24"/>
                <w:lang w:val="fr-FR"/>
              </w:rPr>
              <w:t>ARTICLE 5</w:t>
            </w:r>
            <w:r w:rsidRPr="00F711B7">
              <w:rPr>
                <w:szCs w:val="24"/>
                <w:lang w:val="fr-FR"/>
              </w:rPr>
              <w:t>.</w:t>
            </w:r>
            <w:r w:rsidRPr="00F711B7">
              <w:rPr>
                <w:szCs w:val="24"/>
                <w:lang w:val="fr-FR"/>
              </w:rPr>
              <w:tab/>
              <w:t>Le conseil affecte à la réduction de l’emprunt décrété au présent règlement toute contribution ou subvention qui pourrait être versée pour le paiement d’une partie ou de la totalité de la dépense décrétée par le présent règlement.</w:t>
            </w:r>
          </w:p>
          <w:p w14:paraId="2CDDEDB4" w14:textId="77777777" w:rsidR="0081291E" w:rsidRPr="00F711B7" w:rsidRDefault="0081291E" w:rsidP="0081291E">
            <w:pPr>
              <w:ind w:left="1701" w:hanging="1701"/>
              <w:jc w:val="both"/>
              <w:rPr>
                <w:szCs w:val="24"/>
                <w:lang w:val="fr-FR"/>
              </w:rPr>
            </w:pPr>
          </w:p>
          <w:p w14:paraId="58F4D54D" w14:textId="77777777" w:rsidR="0081291E" w:rsidRPr="00F711B7" w:rsidRDefault="0081291E" w:rsidP="0081291E">
            <w:pPr>
              <w:ind w:left="1701"/>
              <w:jc w:val="both"/>
              <w:rPr>
                <w:szCs w:val="24"/>
                <w:lang w:val="fr-FR"/>
              </w:rPr>
            </w:pPr>
            <w:r w:rsidRPr="00F711B7">
              <w:rPr>
                <w:szCs w:val="24"/>
                <w:lang w:val="fr-FR"/>
              </w:rPr>
              <w:t>Le conseil affecte également, au paiement d’une partie ou de la totalité du service de dette, toute subvention payable sur plusieurs années. Le terme de remboursement de l’emprunt correspondant au montant de la subvention, sera ajusté automatiquement à la période fixée pour le versement de la subvention lorsqu’il s’agit d’une diminution du terme décrété au présent règlement.</w:t>
            </w:r>
          </w:p>
          <w:p w14:paraId="43A7CCAE" w14:textId="77777777" w:rsidR="0081291E" w:rsidRPr="00F711B7" w:rsidRDefault="0081291E" w:rsidP="0081291E">
            <w:pPr>
              <w:ind w:left="1701" w:hanging="1701"/>
              <w:jc w:val="both"/>
              <w:rPr>
                <w:szCs w:val="24"/>
                <w:lang w:val="fr-FR"/>
              </w:rPr>
            </w:pPr>
          </w:p>
          <w:p w14:paraId="176403A8" w14:textId="77777777" w:rsidR="0081291E" w:rsidRPr="00F711B7" w:rsidRDefault="0081291E" w:rsidP="0081291E">
            <w:pPr>
              <w:tabs>
                <w:tab w:val="left" w:pos="1701"/>
              </w:tabs>
              <w:ind w:left="1701" w:hanging="1701"/>
              <w:jc w:val="both"/>
              <w:rPr>
                <w:szCs w:val="24"/>
                <w:lang w:val="fr-FR"/>
              </w:rPr>
            </w:pPr>
            <w:r w:rsidRPr="00F711B7">
              <w:rPr>
                <w:b/>
                <w:szCs w:val="24"/>
                <w:lang w:val="fr-FR"/>
              </w:rPr>
              <w:t>ARTICLE 6</w:t>
            </w:r>
            <w:r w:rsidRPr="00F711B7">
              <w:rPr>
                <w:szCs w:val="24"/>
                <w:lang w:val="fr-FR"/>
              </w:rPr>
              <w:t>.</w:t>
            </w:r>
            <w:r w:rsidRPr="00F711B7">
              <w:rPr>
                <w:szCs w:val="24"/>
                <w:lang w:val="fr-FR"/>
              </w:rPr>
              <w:tab/>
              <w:t>Le présent règlement entrera en vigueur conformément à la loi.</w:t>
            </w:r>
          </w:p>
          <w:p w14:paraId="72ED12B4" w14:textId="77777777" w:rsidR="0081291E" w:rsidRDefault="0081291E" w:rsidP="0081291E">
            <w:pPr>
              <w:tabs>
                <w:tab w:val="left" w:pos="1701"/>
              </w:tabs>
              <w:ind w:left="1701" w:hanging="1701"/>
              <w:jc w:val="both"/>
              <w:rPr>
                <w:szCs w:val="24"/>
                <w:lang w:val="fr-FR"/>
              </w:rPr>
            </w:pPr>
          </w:p>
          <w:p w14:paraId="0BF378F5" w14:textId="77777777" w:rsidR="0081291E" w:rsidRDefault="0081291E" w:rsidP="0081291E">
            <w:pPr>
              <w:tabs>
                <w:tab w:val="left" w:pos="1440"/>
              </w:tabs>
              <w:ind w:right="6"/>
              <w:jc w:val="both"/>
              <w:outlineLvl w:val="0"/>
              <w:rPr>
                <w:bCs/>
                <w:color w:val="000000"/>
                <w:szCs w:val="22"/>
              </w:rPr>
            </w:pPr>
            <w:r w:rsidRPr="00E42BD4">
              <w:rPr>
                <w:bCs/>
                <w:color w:val="000000"/>
                <w:szCs w:val="22"/>
              </w:rPr>
              <w:t xml:space="preserve">Note : </w:t>
            </w:r>
            <w:r>
              <w:rPr>
                <w:bCs/>
                <w:color w:val="000000"/>
                <w:szCs w:val="22"/>
              </w:rPr>
              <w:t>Monsieur Christian Pilon, Maire</w:t>
            </w:r>
            <w:r w:rsidRPr="00E42BD4">
              <w:rPr>
                <w:bCs/>
                <w:color w:val="000000"/>
                <w:szCs w:val="22"/>
              </w:rPr>
              <w:t>, demande si l’adoption de la présente résolution est unanime.</w:t>
            </w:r>
          </w:p>
          <w:p w14:paraId="7B8A3A9C" w14:textId="77777777" w:rsidR="0081291E" w:rsidRDefault="0081291E" w:rsidP="00212633">
            <w:pPr>
              <w:ind w:right="6"/>
              <w:jc w:val="right"/>
              <w:rPr>
                <w:b/>
              </w:rPr>
            </w:pPr>
            <w:r w:rsidRPr="00E42BD4">
              <w:rPr>
                <w:b/>
              </w:rPr>
              <w:t>Adoptée à l’unanimité.</w:t>
            </w:r>
          </w:p>
          <w:p w14:paraId="39FBA05E" w14:textId="77777777" w:rsidR="0081291E" w:rsidRDefault="0081291E" w:rsidP="0081291E">
            <w:pPr>
              <w:ind w:right="6"/>
              <w:rPr>
                <w:b/>
              </w:rPr>
            </w:pPr>
          </w:p>
          <w:p w14:paraId="527200AE" w14:textId="0D4872DE" w:rsidR="0081291E" w:rsidRDefault="0081291E" w:rsidP="0081291E">
            <w:pPr>
              <w:widowControl w:val="0"/>
              <w:tabs>
                <w:tab w:val="left" w:pos="-1440"/>
                <w:tab w:val="left" w:pos="-720"/>
                <w:tab w:val="left" w:pos="0"/>
                <w:tab w:val="left" w:pos="720"/>
                <w:tab w:val="left" w:pos="1025"/>
                <w:tab w:val="left" w:pos="3917"/>
                <w:tab w:val="left" w:pos="4823"/>
                <w:tab w:val="left" w:pos="5954"/>
                <w:tab w:val="righ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jc w:val="both"/>
              <w:rPr>
                <w:b/>
                <w:lang w:val="fr-FR"/>
              </w:rPr>
            </w:pPr>
            <w:r w:rsidRPr="00F711B7">
              <w:rPr>
                <w:b/>
                <w:sz w:val="20"/>
                <w:lang w:val="fr-FR"/>
              </w:rPr>
              <w:tab/>
            </w:r>
            <w:r>
              <w:rPr>
                <w:b/>
                <w:sz w:val="20"/>
                <w:lang w:val="fr-FR"/>
              </w:rPr>
              <w:tab/>
            </w:r>
            <w:r>
              <w:rPr>
                <w:b/>
                <w:lang w:val="fr-FR"/>
              </w:rPr>
              <w:t>A</w:t>
            </w:r>
            <w:r w:rsidRPr="00F711B7">
              <w:rPr>
                <w:b/>
                <w:lang w:val="fr-FR"/>
              </w:rPr>
              <w:t>vis de motion:</w:t>
            </w:r>
            <w:r w:rsidRPr="00F711B7">
              <w:rPr>
                <w:b/>
                <w:lang w:val="fr-FR"/>
              </w:rPr>
              <w:tab/>
            </w:r>
            <w:r w:rsidRPr="00F711B7">
              <w:rPr>
                <w:b/>
                <w:lang w:val="fr-FR"/>
              </w:rPr>
              <w:tab/>
            </w:r>
            <w:r>
              <w:rPr>
                <w:b/>
                <w:lang w:val="fr-FR"/>
              </w:rPr>
              <w:t>6</w:t>
            </w:r>
            <w:r w:rsidRPr="00F711B7">
              <w:rPr>
                <w:b/>
                <w:lang w:val="fr-FR"/>
              </w:rPr>
              <w:t xml:space="preserve"> </w:t>
            </w:r>
            <w:r>
              <w:rPr>
                <w:b/>
                <w:lang w:val="fr-FR"/>
              </w:rPr>
              <w:t>novembre</w:t>
            </w:r>
            <w:r w:rsidRPr="00F711B7">
              <w:rPr>
                <w:b/>
                <w:lang w:val="fr-FR"/>
              </w:rPr>
              <w:t xml:space="preserve"> 20</w:t>
            </w:r>
            <w:r>
              <w:rPr>
                <w:b/>
                <w:lang w:val="fr-FR"/>
              </w:rPr>
              <w:t>23</w:t>
            </w:r>
          </w:p>
          <w:p w14:paraId="7A90E9C0" w14:textId="2A4D86A6" w:rsidR="0081291E" w:rsidRPr="00F711B7" w:rsidRDefault="0081291E" w:rsidP="0081291E">
            <w:pPr>
              <w:widowControl w:val="0"/>
              <w:tabs>
                <w:tab w:val="left" w:pos="-1440"/>
                <w:tab w:val="left" w:pos="-720"/>
                <w:tab w:val="left" w:pos="0"/>
                <w:tab w:val="left" w:pos="720"/>
                <w:tab w:val="left" w:pos="1025"/>
                <w:tab w:val="left" w:pos="3917"/>
                <w:tab w:val="left" w:pos="4823"/>
                <w:tab w:val="left" w:pos="5954"/>
                <w:tab w:val="righ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jc w:val="both"/>
              <w:rPr>
                <w:b/>
                <w:lang w:val="fr-FR"/>
              </w:rPr>
            </w:pPr>
            <w:r>
              <w:rPr>
                <w:b/>
                <w:lang w:val="fr-FR"/>
              </w:rPr>
              <w:tab/>
            </w:r>
            <w:r>
              <w:rPr>
                <w:b/>
                <w:lang w:val="fr-FR"/>
              </w:rPr>
              <w:tab/>
              <w:t>Adoption du projet de règlement :</w:t>
            </w:r>
            <w:r>
              <w:rPr>
                <w:b/>
                <w:lang w:val="fr-FR"/>
              </w:rPr>
              <w:tab/>
              <w:t>6 novembre 2023</w:t>
            </w:r>
          </w:p>
          <w:p w14:paraId="24646316" w14:textId="4DCA2253" w:rsidR="0081291E" w:rsidRPr="00F711B7" w:rsidRDefault="0081291E" w:rsidP="0081291E">
            <w:pPr>
              <w:widowControl w:val="0"/>
              <w:tabs>
                <w:tab w:val="left" w:pos="-1440"/>
                <w:tab w:val="left" w:pos="-720"/>
                <w:tab w:val="left" w:pos="0"/>
                <w:tab w:val="left" w:pos="720"/>
                <w:tab w:val="left" w:pos="1025"/>
                <w:tab w:val="left" w:pos="3917"/>
                <w:tab w:val="left" w:pos="4823"/>
                <w:tab w:val="righ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jc w:val="both"/>
              <w:rPr>
                <w:b/>
                <w:lang w:val="fr-FR"/>
              </w:rPr>
            </w:pPr>
            <w:r w:rsidRPr="00F711B7">
              <w:rPr>
                <w:b/>
                <w:lang w:val="fr-FR"/>
              </w:rPr>
              <w:tab/>
            </w:r>
            <w:r w:rsidRPr="00F711B7">
              <w:rPr>
                <w:b/>
                <w:lang w:val="fr-FR"/>
              </w:rPr>
              <w:tab/>
            </w:r>
            <w:r>
              <w:rPr>
                <w:b/>
                <w:lang w:val="fr-FR"/>
              </w:rPr>
              <w:t>A</w:t>
            </w:r>
            <w:r w:rsidRPr="00F711B7">
              <w:rPr>
                <w:b/>
                <w:lang w:val="fr-FR"/>
              </w:rPr>
              <w:t xml:space="preserve">dopté </w:t>
            </w:r>
            <w:r>
              <w:rPr>
                <w:b/>
                <w:lang w:val="fr-FR"/>
              </w:rPr>
              <w:t>à</w:t>
            </w:r>
            <w:r w:rsidRPr="00F711B7">
              <w:rPr>
                <w:b/>
                <w:lang w:val="fr-FR"/>
              </w:rPr>
              <w:t xml:space="preserve"> la séance du:</w:t>
            </w:r>
            <w:r w:rsidRPr="00F711B7">
              <w:rPr>
                <w:b/>
                <w:lang w:val="fr-FR"/>
              </w:rPr>
              <w:tab/>
            </w:r>
            <w:r w:rsidR="00212633">
              <w:rPr>
                <w:b/>
                <w:lang w:val="fr-FR"/>
              </w:rPr>
              <w:tab/>
              <w:t>4 décembre 2023</w:t>
            </w:r>
          </w:p>
          <w:p w14:paraId="3A3A120B" w14:textId="600FDC9A" w:rsidR="0081291E" w:rsidRDefault="0081291E" w:rsidP="0081291E">
            <w:pPr>
              <w:widowControl w:val="0"/>
              <w:tabs>
                <w:tab w:val="left" w:pos="-1440"/>
                <w:tab w:val="left" w:pos="-720"/>
                <w:tab w:val="left" w:pos="0"/>
                <w:tab w:val="left" w:pos="720"/>
                <w:tab w:val="left" w:pos="1025"/>
                <w:tab w:val="left" w:pos="3917"/>
                <w:tab w:val="left" w:pos="4823"/>
                <w:tab w:val="righ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jc w:val="both"/>
              <w:rPr>
                <w:b/>
                <w:lang w:val="fr-FR"/>
              </w:rPr>
            </w:pPr>
            <w:r w:rsidRPr="00F711B7">
              <w:rPr>
                <w:b/>
                <w:lang w:val="fr-FR"/>
              </w:rPr>
              <w:tab/>
            </w:r>
            <w:r w:rsidRPr="00F711B7">
              <w:rPr>
                <w:b/>
                <w:lang w:val="fr-FR"/>
              </w:rPr>
              <w:tab/>
            </w:r>
            <w:r>
              <w:rPr>
                <w:b/>
                <w:lang w:val="fr-FR"/>
              </w:rPr>
              <w:t>P</w:t>
            </w:r>
            <w:r w:rsidRPr="00F711B7">
              <w:rPr>
                <w:b/>
                <w:lang w:val="fr-FR"/>
              </w:rPr>
              <w:t>ublication:</w:t>
            </w:r>
            <w:r w:rsidR="00212633">
              <w:rPr>
                <w:b/>
                <w:lang w:val="fr-FR"/>
              </w:rPr>
              <w:tab/>
            </w:r>
            <w:r w:rsidR="00212633">
              <w:rPr>
                <w:b/>
                <w:lang w:val="fr-FR"/>
              </w:rPr>
              <w:tab/>
              <w:t>6 décembre 2023</w:t>
            </w:r>
          </w:p>
          <w:p w14:paraId="60D2FBAC" w14:textId="1FC51E8E" w:rsidR="0081291E" w:rsidRPr="00F711B7" w:rsidRDefault="0081291E" w:rsidP="0081291E">
            <w:pPr>
              <w:widowControl w:val="0"/>
              <w:tabs>
                <w:tab w:val="left" w:pos="-1440"/>
                <w:tab w:val="left" w:pos="-720"/>
                <w:tab w:val="left" w:pos="0"/>
                <w:tab w:val="left" w:pos="720"/>
                <w:tab w:val="left" w:pos="1025"/>
                <w:tab w:val="left" w:pos="3917"/>
                <w:tab w:val="left" w:pos="4823"/>
                <w:tab w:val="righ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0" w:hanging="7920"/>
              <w:jc w:val="both"/>
              <w:rPr>
                <w:b/>
                <w:lang w:val="fr-FR"/>
              </w:rPr>
            </w:pPr>
            <w:r>
              <w:rPr>
                <w:b/>
                <w:lang w:val="fr-FR"/>
              </w:rPr>
              <w:tab/>
            </w:r>
            <w:r>
              <w:rPr>
                <w:b/>
                <w:lang w:val="fr-FR"/>
              </w:rPr>
              <w:tab/>
              <w:t>Tenue d’un registre :</w:t>
            </w:r>
            <w:r w:rsidR="00212633">
              <w:rPr>
                <w:b/>
                <w:lang w:val="fr-FR"/>
              </w:rPr>
              <w:tab/>
            </w:r>
            <w:r w:rsidR="00212633">
              <w:rPr>
                <w:b/>
                <w:lang w:val="fr-FR"/>
              </w:rPr>
              <w:tab/>
              <w:t>14 décembre 2023</w:t>
            </w:r>
          </w:p>
          <w:p w14:paraId="2E642793" w14:textId="77777777" w:rsidR="00212633" w:rsidRDefault="00212633" w:rsidP="0081291E">
            <w:pPr>
              <w:ind w:right="6"/>
              <w:rPr>
                <w:b/>
              </w:rPr>
            </w:pPr>
          </w:p>
          <w:p w14:paraId="20A88475" w14:textId="1163E811" w:rsidR="0081291E" w:rsidRDefault="0081291E" w:rsidP="0081291E">
            <w:pPr>
              <w:tabs>
                <w:tab w:val="left" w:pos="1701"/>
              </w:tabs>
              <w:ind w:left="1701" w:hanging="1701"/>
              <w:jc w:val="both"/>
              <w:rPr>
                <w:szCs w:val="24"/>
                <w:lang w:val="fr-FR"/>
              </w:rPr>
            </w:pPr>
            <w:r>
              <w:rPr>
                <w:szCs w:val="24"/>
                <w:lang w:val="fr-FR"/>
              </w:rPr>
              <w:t>______</w:t>
            </w:r>
            <w:r w:rsidR="00644CC8">
              <w:rPr>
                <w:szCs w:val="24"/>
                <w:lang w:val="fr-FR"/>
              </w:rPr>
              <w:t>(signé)</w:t>
            </w:r>
            <w:r>
              <w:rPr>
                <w:szCs w:val="24"/>
                <w:lang w:val="fr-FR"/>
              </w:rPr>
              <w:t>___________</w:t>
            </w:r>
            <w:r>
              <w:rPr>
                <w:szCs w:val="24"/>
                <w:lang w:val="fr-FR"/>
              </w:rPr>
              <w:tab/>
            </w:r>
            <w:r>
              <w:rPr>
                <w:szCs w:val="24"/>
                <w:lang w:val="fr-FR"/>
              </w:rPr>
              <w:tab/>
            </w:r>
            <w:r w:rsidR="00644CC8">
              <w:rPr>
                <w:szCs w:val="24"/>
                <w:lang w:val="fr-FR"/>
              </w:rPr>
              <w:tab/>
            </w:r>
            <w:r>
              <w:rPr>
                <w:szCs w:val="24"/>
                <w:lang w:val="fr-FR"/>
              </w:rPr>
              <w:t>______</w:t>
            </w:r>
            <w:r w:rsidR="00644CC8">
              <w:rPr>
                <w:szCs w:val="24"/>
                <w:lang w:val="fr-FR"/>
              </w:rPr>
              <w:t>(signé)</w:t>
            </w:r>
            <w:r>
              <w:rPr>
                <w:szCs w:val="24"/>
                <w:lang w:val="fr-FR"/>
              </w:rPr>
              <w:t>___________</w:t>
            </w:r>
          </w:p>
          <w:p w14:paraId="3B1571ED" w14:textId="783CF2E8" w:rsidR="000E26D9" w:rsidRPr="007C00DC" w:rsidRDefault="0081291E" w:rsidP="00212633">
            <w:pPr>
              <w:tabs>
                <w:tab w:val="left" w:pos="1701"/>
              </w:tabs>
              <w:ind w:left="1701" w:hanging="1701"/>
              <w:jc w:val="both"/>
              <w:rPr>
                <w:sz w:val="20"/>
                <w:lang w:val="fr-FR"/>
              </w:rPr>
            </w:pPr>
            <w:r>
              <w:rPr>
                <w:szCs w:val="24"/>
                <w:lang w:val="fr-FR"/>
              </w:rPr>
              <w:t>Christian Pilon, Maire</w:t>
            </w:r>
            <w:r>
              <w:rPr>
                <w:szCs w:val="24"/>
                <w:lang w:val="fr-FR"/>
              </w:rPr>
              <w:tab/>
            </w:r>
            <w:r>
              <w:rPr>
                <w:szCs w:val="24"/>
                <w:lang w:val="fr-FR"/>
              </w:rPr>
              <w:tab/>
            </w:r>
            <w:r>
              <w:rPr>
                <w:szCs w:val="24"/>
                <w:lang w:val="fr-FR"/>
              </w:rPr>
              <w:tab/>
              <w:t>Pierre Villeneuve, DG/GT</w:t>
            </w:r>
          </w:p>
        </w:tc>
      </w:tr>
      <w:tr w:rsidR="00F855D5" w:rsidRPr="007C00DC" w14:paraId="1BCE7998" w14:textId="77777777" w:rsidTr="007C00DC">
        <w:trPr>
          <w:trHeight w:val="18848"/>
        </w:trPr>
        <w:tc>
          <w:tcPr>
            <w:tcW w:w="2608" w:type="dxa"/>
          </w:tcPr>
          <w:p w14:paraId="788C379E" w14:textId="77777777" w:rsidR="00F855D5" w:rsidRPr="007C00DC" w:rsidRDefault="00F855D5" w:rsidP="00857D28">
            <w:pPr>
              <w:pStyle w:val="EprovincedeQubec"/>
              <w:ind w:left="0"/>
            </w:pPr>
          </w:p>
        </w:tc>
        <w:tc>
          <w:tcPr>
            <w:tcW w:w="8732" w:type="dxa"/>
          </w:tcPr>
          <w:p w14:paraId="363EA1B5" w14:textId="77777777" w:rsidR="00F855D5" w:rsidRPr="007C00DC" w:rsidRDefault="00F855D5" w:rsidP="00D81847">
            <w:pPr>
              <w:tabs>
                <w:tab w:val="left" w:pos="4850"/>
              </w:tabs>
              <w:ind w:right="199"/>
              <w:rPr>
                <w:sz w:val="20"/>
              </w:rPr>
            </w:pPr>
          </w:p>
        </w:tc>
      </w:tr>
    </w:tbl>
    <w:p w14:paraId="2D1615ED" w14:textId="77777777" w:rsidR="0081291E" w:rsidRPr="007C00DC" w:rsidRDefault="0081291E" w:rsidP="00847F6D">
      <w:pPr>
        <w:spacing w:after="160" w:line="259" w:lineRule="auto"/>
        <w:rPr>
          <w:sz w:val="20"/>
        </w:rPr>
      </w:pPr>
    </w:p>
    <w:sectPr w:rsidR="0081291E" w:rsidRPr="007C00DC" w:rsidSect="000A6F3A">
      <w:headerReference w:type="even" r:id="rId8"/>
      <w:headerReference w:type="default" r:id="rId9"/>
      <w:footerReference w:type="even" r:id="rId10"/>
      <w:footerReference w:type="default" r:id="rId11"/>
      <w:headerReference w:type="first" r:id="rId12"/>
      <w:footerReference w:type="first" r:id="rId13"/>
      <w:pgSz w:w="12242" w:h="20163" w:code="5"/>
      <w:pgMar w:top="652" w:right="340" w:bottom="397" w:left="227" w:header="170" w:footer="170" w:gutter="0"/>
      <w:pgBorders w:offsetFrom="page">
        <w:top w:val="single" w:sz="4" w:space="30" w:color="EC5E5E"/>
        <w:left w:val="single" w:sz="4" w:space="22" w:color="EC5E5E"/>
        <w:bottom w:val="single" w:sz="4" w:space="30" w:color="EC5E5E"/>
        <w:right w:val="single" w:sz="4" w:space="20" w:color="EC5E5E"/>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AC755" w14:textId="77777777" w:rsidR="00ED1B14" w:rsidRDefault="00ED1B14" w:rsidP="004779DC">
      <w:r>
        <w:separator/>
      </w:r>
    </w:p>
  </w:endnote>
  <w:endnote w:type="continuationSeparator" w:id="0">
    <w:p w14:paraId="3977DE0A" w14:textId="77777777" w:rsidR="00ED1B14" w:rsidRDefault="00ED1B14" w:rsidP="0047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DA972" w14:textId="77777777" w:rsidR="004779DC" w:rsidRDefault="004779D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9AA91" w14:textId="77777777" w:rsidR="004779DC" w:rsidRDefault="004779D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BE247" w14:textId="77777777" w:rsidR="004779DC" w:rsidRDefault="004779D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F03A2" w14:textId="77777777" w:rsidR="00ED1B14" w:rsidRDefault="00ED1B14" w:rsidP="004779DC">
      <w:r>
        <w:separator/>
      </w:r>
    </w:p>
  </w:footnote>
  <w:footnote w:type="continuationSeparator" w:id="0">
    <w:p w14:paraId="494F87BD" w14:textId="77777777" w:rsidR="00ED1B14" w:rsidRDefault="00ED1B14" w:rsidP="00477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7F304" w14:textId="2A5F7926" w:rsidR="004779DC" w:rsidRDefault="004779D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B4FFE" w14:textId="2BB77FAC" w:rsidR="004779DC" w:rsidRDefault="004779D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E445F" w14:textId="4EC30339" w:rsidR="004779DC" w:rsidRDefault="004779D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04398"/>
    <w:multiLevelType w:val="hybridMultilevel"/>
    <w:tmpl w:val="C9DEFF58"/>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6AC4D9A"/>
    <w:multiLevelType w:val="hybridMultilevel"/>
    <w:tmpl w:val="C93827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C637B2C"/>
    <w:multiLevelType w:val="hybridMultilevel"/>
    <w:tmpl w:val="C3C87828"/>
    <w:lvl w:ilvl="0" w:tplc="009016FE">
      <w:start w:val="4"/>
      <w:numFmt w:val="bullet"/>
      <w:lvlText w:val="-"/>
      <w:lvlJc w:val="left"/>
      <w:pPr>
        <w:ind w:left="2345" w:hanging="360"/>
      </w:pPr>
      <w:rPr>
        <w:rFonts w:ascii="Times New Roman" w:eastAsia="Times New Roman" w:hAnsi="Times New Roman" w:cs="Times New Roman" w:hint="default"/>
      </w:rPr>
    </w:lvl>
    <w:lvl w:ilvl="1" w:tplc="0C0C0003">
      <w:start w:val="1"/>
      <w:numFmt w:val="bullet"/>
      <w:lvlText w:val="o"/>
      <w:lvlJc w:val="left"/>
      <w:pPr>
        <w:ind w:left="3065" w:hanging="360"/>
      </w:pPr>
      <w:rPr>
        <w:rFonts w:ascii="Courier New" w:hAnsi="Courier New" w:cs="Courier New" w:hint="default"/>
      </w:rPr>
    </w:lvl>
    <w:lvl w:ilvl="2" w:tplc="0C0C0005">
      <w:start w:val="1"/>
      <w:numFmt w:val="bullet"/>
      <w:lvlText w:val=""/>
      <w:lvlJc w:val="left"/>
      <w:pPr>
        <w:ind w:left="3785" w:hanging="360"/>
      </w:pPr>
      <w:rPr>
        <w:rFonts w:ascii="Wingdings" w:hAnsi="Wingdings" w:hint="default"/>
      </w:rPr>
    </w:lvl>
    <w:lvl w:ilvl="3" w:tplc="0C0C0001">
      <w:start w:val="1"/>
      <w:numFmt w:val="bullet"/>
      <w:lvlText w:val=""/>
      <w:lvlJc w:val="left"/>
      <w:pPr>
        <w:ind w:left="4505" w:hanging="360"/>
      </w:pPr>
      <w:rPr>
        <w:rFonts w:ascii="Symbol" w:hAnsi="Symbol" w:hint="default"/>
      </w:rPr>
    </w:lvl>
    <w:lvl w:ilvl="4" w:tplc="0C0C0003">
      <w:start w:val="1"/>
      <w:numFmt w:val="bullet"/>
      <w:lvlText w:val="o"/>
      <w:lvlJc w:val="left"/>
      <w:pPr>
        <w:ind w:left="5225" w:hanging="360"/>
      </w:pPr>
      <w:rPr>
        <w:rFonts w:ascii="Courier New" w:hAnsi="Courier New" w:cs="Courier New" w:hint="default"/>
      </w:rPr>
    </w:lvl>
    <w:lvl w:ilvl="5" w:tplc="0C0C0005">
      <w:start w:val="1"/>
      <w:numFmt w:val="bullet"/>
      <w:lvlText w:val=""/>
      <w:lvlJc w:val="left"/>
      <w:pPr>
        <w:ind w:left="5945" w:hanging="360"/>
      </w:pPr>
      <w:rPr>
        <w:rFonts w:ascii="Wingdings" w:hAnsi="Wingdings" w:hint="default"/>
      </w:rPr>
    </w:lvl>
    <w:lvl w:ilvl="6" w:tplc="0C0C0001">
      <w:start w:val="1"/>
      <w:numFmt w:val="bullet"/>
      <w:lvlText w:val=""/>
      <w:lvlJc w:val="left"/>
      <w:pPr>
        <w:ind w:left="6665" w:hanging="360"/>
      </w:pPr>
      <w:rPr>
        <w:rFonts w:ascii="Symbol" w:hAnsi="Symbol" w:hint="default"/>
      </w:rPr>
    </w:lvl>
    <w:lvl w:ilvl="7" w:tplc="0C0C0003">
      <w:start w:val="1"/>
      <w:numFmt w:val="bullet"/>
      <w:lvlText w:val="o"/>
      <w:lvlJc w:val="left"/>
      <w:pPr>
        <w:ind w:left="7385" w:hanging="360"/>
      </w:pPr>
      <w:rPr>
        <w:rFonts w:ascii="Courier New" w:hAnsi="Courier New" w:cs="Courier New" w:hint="default"/>
      </w:rPr>
    </w:lvl>
    <w:lvl w:ilvl="8" w:tplc="0C0C0005">
      <w:start w:val="1"/>
      <w:numFmt w:val="bullet"/>
      <w:lvlText w:val=""/>
      <w:lvlJc w:val="left"/>
      <w:pPr>
        <w:ind w:left="8105" w:hanging="360"/>
      </w:pPr>
      <w:rPr>
        <w:rFonts w:ascii="Wingdings" w:hAnsi="Wingdings" w:hint="default"/>
      </w:rPr>
    </w:lvl>
  </w:abstractNum>
  <w:abstractNum w:abstractNumId="3" w15:restartNumberingAfterBreak="0">
    <w:nsid w:val="6F2A692B"/>
    <w:multiLevelType w:val="hybridMultilevel"/>
    <w:tmpl w:val="EDD48F1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74C27BA6"/>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6D34F57"/>
    <w:multiLevelType w:val="hybridMultilevel"/>
    <w:tmpl w:val="D920250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232274877">
    <w:abstractNumId w:val="3"/>
  </w:num>
  <w:num w:numId="2" w16cid:durableId="1705977859">
    <w:abstractNumId w:val="4"/>
  </w:num>
  <w:num w:numId="3" w16cid:durableId="476457322">
    <w:abstractNumId w:val="2"/>
  </w:num>
  <w:num w:numId="4" w16cid:durableId="134690025">
    <w:abstractNumId w:val="0"/>
  </w:num>
  <w:num w:numId="5" w16cid:durableId="2084840264">
    <w:abstractNumId w:val="5"/>
  </w:num>
  <w:num w:numId="6" w16cid:durableId="1419213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6D9"/>
    <w:rsid w:val="00002E2E"/>
    <w:rsid w:val="0002550D"/>
    <w:rsid w:val="000709B9"/>
    <w:rsid w:val="0008241E"/>
    <w:rsid w:val="00084E2F"/>
    <w:rsid w:val="000A34C8"/>
    <w:rsid w:val="000A6F3A"/>
    <w:rsid w:val="000C0C41"/>
    <w:rsid w:val="000D7D65"/>
    <w:rsid w:val="000E26D9"/>
    <w:rsid w:val="000F1870"/>
    <w:rsid w:val="00120C53"/>
    <w:rsid w:val="00121AB8"/>
    <w:rsid w:val="001262F1"/>
    <w:rsid w:val="00133592"/>
    <w:rsid w:val="001378E2"/>
    <w:rsid w:val="00162899"/>
    <w:rsid w:val="001710A5"/>
    <w:rsid w:val="00185C87"/>
    <w:rsid w:val="001916EA"/>
    <w:rsid w:val="001A4146"/>
    <w:rsid w:val="001A4B12"/>
    <w:rsid w:val="001B7C43"/>
    <w:rsid w:val="001C003A"/>
    <w:rsid w:val="001E7D80"/>
    <w:rsid w:val="00212633"/>
    <w:rsid w:val="00224B8D"/>
    <w:rsid w:val="00265E80"/>
    <w:rsid w:val="002816D0"/>
    <w:rsid w:val="00281FF1"/>
    <w:rsid w:val="002835C5"/>
    <w:rsid w:val="002916CD"/>
    <w:rsid w:val="002B08BE"/>
    <w:rsid w:val="002F4861"/>
    <w:rsid w:val="003459BB"/>
    <w:rsid w:val="003953F4"/>
    <w:rsid w:val="003A33D8"/>
    <w:rsid w:val="003B1307"/>
    <w:rsid w:val="003E5835"/>
    <w:rsid w:val="00402C60"/>
    <w:rsid w:val="00406BB0"/>
    <w:rsid w:val="0045430C"/>
    <w:rsid w:val="004779DC"/>
    <w:rsid w:val="00481097"/>
    <w:rsid w:val="004C105C"/>
    <w:rsid w:val="004E6CE8"/>
    <w:rsid w:val="0051292B"/>
    <w:rsid w:val="0054582F"/>
    <w:rsid w:val="00552278"/>
    <w:rsid w:val="00605BD4"/>
    <w:rsid w:val="00605DA4"/>
    <w:rsid w:val="0062341B"/>
    <w:rsid w:val="00623756"/>
    <w:rsid w:val="00644CC8"/>
    <w:rsid w:val="006716C6"/>
    <w:rsid w:val="00684887"/>
    <w:rsid w:val="006C0D14"/>
    <w:rsid w:val="006E1AE8"/>
    <w:rsid w:val="007324A6"/>
    <w:rsid w:val="0077197B"/>
    <w:rsid w:val="00771B95"/>
    <w:rsid w:val="007A3DBA"/>
    <w:rsid w:val="007C00DC"/>
    <w:rsid w:val="0081291E"/>
    <w:rsid w:val="00814367"/>
    <w:rsid w:val="00824777"/>
    <w:rsid w:val="00847F6D"/>
    <w:rsid w:val="00857D28"/>
    <w:rsid w:val="00886E29"/>
    <w:rsid w:val="008913AE"/>
    <w:rsid w:val="008C3374"/>
    <w:rsid w:val="008E3488"/>
    <w:rsid w:val="008F00C7"/>
    <w:rsid w:val="00933480"/>
    <w:rsid w:val="00946473"/>
    <w:rsid w:val="009A23E1"/>
    <w:rsid w:val="009B1420"/>
    <w:rsid w:val="009E2F38"/>
    <w:rsid w:val="009E6E73"/>
    <w:rsid w:val="009F4F76"/>
    <w:rsid w:val="00A01BFE"/>
    <w:rsid w:val="00A22585"/>
    <w:rsid w:val="00A64046"/>
    <w:rsid w:val="00AA0CCD"/>
    <w:rsid w:val="00AA2BF3"/>
    <w:rsid w:val="00AD6CF0"/>
    <w:rsid w:val="00AF54ED"/>
    <w:rsid w:val="00B46E1C"/>
    <w:rsid w:val="00B520D5"/>
    <w:rsid w:val="00B525A3"/>
    <w:rsid w:val="00BA7641"/>
    <w:rsid w:val="00BE3A8C"/>
    <w:rsid w:val="00C37DA6"/>
    <w:rsid w:val="00C61ACC"/>
    <w:rsid w:val="00C74C50"/>
    <w:rsid w:val="00C77268"/>
    <w:rsid w:val="00C82D59"/>
    <w:rsid w:val="00CA49A7"/>
    <w:rsid w:val="00CC2AAF"/>
    <w:rsid w:val="00D00E5C"/>
    <w:rsid w:val="00D3314A"/>
    <w:rsid w:val="00D53C75"/>
    <w:rsid w:val="00D81847"/>
    <w:rsid w:val="00D81BE1"/>
    <w:rsid w:val="00D953DD"/>
    <w:rsid w:val="00DA70D6"/>
    <w:rsid w:val="00DB28E9"/>
    <w:rsid w:val="00DF35AB"/>
    <w:rsid w:val="00E03474"/>
    <w:rsid w:val="00E25B2F"/>
    <w:rsid w:val="00E268AD"/>
    <w:rsid w:val="00E4566A"/>
    <w:rsid w:val="00ED1B14"/>
    <w:rsid w:val="00F04C15"/>
    <w:rsid w:val="00F152A4"/>
    <w:rsid w:val="00F161B6"/>
    <w:rsid w:val="00F63E26"/>
    <w:rsid w:val="00F73098"/>
    <w:rsid w:val="00F855D5"/>
    <w:rsid w:val="00F97B8E"/>
    <w:rsid w:val="00FC0507"/>
    <w:rsid w:val="00FC3E00"/>
    <w:rsid w:val="00FC4F63"/>
    <w:rsid w:val="00FD0425"/>
    <w:rsid w:val="00FE58A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67EC5"/>
  <w15:chartTrackingRefBased/>
  <w15:docId w15:val="{ED9CA519-E433-48C4-BBE1-82386208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BD4"/>
    <w:pPr>
      <w:spacing w:after="0" w:line="240" w:lineRule="auto"/>
    </w:pPr>
    <w:rPr>
      <w:rFonts w:eastAsia="Times New Roman" w:cs="Times New Roman"/>
      <w:szCs w:val="20"/>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08241E"/>
    <w:pPr>
      <w:spacing w:after="160" w:line="259" w:lineRule="auto"/>
      <w:ind w:left="720"/>
      <w:contextualSpacing/>
    </w:pPr>
    <w:rPr>
      <w:rFonts w:eastAsiaTheme="minorHAnsi" w:cstheme="minorBidi"/>
      <w:szCs w:val="22"/>
      <w:lang w:eastAsia="en-US"/>
    </w:rPr>
  </w:style>
  <w:style w:type="paragraph" w:styleId="Textedebulles">
    <w:name w:val="Balloon Text"/>
    <w:basedOn w:val="Normal"/>
    <w:link w:val="TextedebullesCar"/>
    <w:uiPriority w:val="99"/>
    <w:semiHidden/>
    <w:unhideWhenUsed/>
    <w:rsid w:val="0008241E"/>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08241E"/>
    <w:rPr>
      <w:rFonts w:ascii="Segoe UI" w:hAnsi="Segoe UI" w:cs="Segoe UI"/>
      <w:sz w:val="18"/>
      <w:szCs w:val="18"/>
    </w:rPr>
  </w:style>
  <w:style w:type="paragraph" w:styleId="Normalcentr">
    <w:name w:val="Block Text"/>
    <w:basedOn w:val="Normal"/>
    <w:rsid w:val="00605BD4"/>
    <w:pPr>
      <w:ind w:left="4820" w:right="-567" w:hanging="2268"/>
    </w:pPr>
    <w:rPr>
      <w:sz w:val="20"/>
    </w:rPr>
  </w:style>
  <w:style w:type="paragraph" w:customStyle="1" w:styleId="EprovincedeQubec">
    <w:name w:val="E province de Québec"/>
    <w:basedOn w:val="Normal"/>
    <w:rsid w:val="00A01BFE"/>
    <w:pPr>
      <w:ind w:left="79"/>
    </w:pPr>
    <w:rPr>
      <w:caps/>
      <w:sz w:val="20"/>
    </w:rPr>
  </w:style>
  <w:style w:type="paragraph" w:customStyle="1" w:styleId="EAdoptlunanimit">
    <w:name w:val="E Adopté à l'unanimité"/>
    <w:basedOn w:val="Normal"/>
    <w:rsid w:val="00FD0425"/>
    <w:pPr>
      <w:tabs>
        <w:tab w:val="left" w:pos="4842"/>
      </w:tabs>
      <w:spacing w:after="720"/>
      <w:ind w:right="66"/>
    </w:pPr>
    <w:rPr>
      <w:sz w:val="20"/>
    </w:rPr>
  </w:style>
  <w:style w:type="paragraph" w:customStyle="1" w:styleId="ERsolutionNo">
    <w:name w:val="E Résolution No"/>
    <w:basedOn w:val="Normal"/>
    <w:link w:val="ERsolutionNoCar"/>
    <w:qFormat/>
    <w:rsid w:val="00A01BFE"/>
    <w:pPr>
      <w:spacing w:after="240"/>
      <w:ind w:left="31" w:right="66"/>
    </w:pPr>
    <w:rPr>
      <w:sz w:val="20"/>
      <w:u w:val="single"/>
    </w:rPr>
  </w:style>
  <w:style w:type="paragraph" w:customStyle="1" w:styleId="Ecopiecertifieconforme">
    <w:name w:val="E copie certifiée conforme"/>
    <w:basedOn w:val="Normal"/>
    <w:qFormat/>
    <w:rsid w:val="00933480"/>
    <w:pPr>
      <w:spacing w:after="240"/>
      <w:ind w:left="2694" w:right="283"/>
    </w:pPr>
    <w:rPr>
      <w:sz w:val="20"/>
    </w:rPr>
  </w:style>
  <w:style w:type="paragraph" w:customStyle="1" w:styleId="Esign">
    <w:name w:val="E (signé)"/>
    <w:basedOn w:val="Normal"/>
    <w:qFormat/>
    <w:rsid w:val="00933480"/>
    <w:pPr>
      <w:tabs>
        <w:tab w:val="center" w:pos="3828"/>
        <w:tab w:val="center" w:pos="8364"/>
      </w:tabs>
      <w:ind w:left="2694" w:right="-426"/>
    </w:pPr>
    <w:rPr>
      <w:sz w:val="20"/>
    </w:rPr>
  </w:style>
  <w:style w:type="character" w:customStyle="1" w:styleId="ERsolutionNoCar">
    <w:name w:val="E Résolution No Car"/>
    <w:basedOn w:val="Policepardfaut"/>
    <w:link w:val="ERsolutionNo"/>
    <w:rsid w:val="00A01BFE"/>
    <w:rPr>
      <w:rFonts w:eastAsia="Times New Roman" w:cs="Times New Roman"/>
      <w:sz w:val="20"/>
      <w:szCs w:val="20"/>
      <w:u w:val="single"/>
      <w:lang w:eastAsia="fr-CA"/>
    </w:rPr>
  </w:style>
  <w:style w:type="paragraph" w:customStyle="1" w:styleId="Econsidrant">
    <w:name w:val="E considérant"/>
    <w:basedOn w:val="Normal"/>
    <w:qFormat/>
    <w:rsid w:val="00FD0425"/>
    <w:pPr>
      <w:ind w:left="1453" w:hanging="1453"/>
      <w:jc w:val="both"/>
    </w:pPr>
    <w:rPr>
      <w:sz w:val="20"/>
    </w:rPr>
  </w:style>
  <w:style w:type="paragraph" w:customStyle="1" w:styleId="Eque">
    <w:name w:val="E que"/>
    <w:basedOn w:val="Equeconsidrant"/>
    <w:qFormat/>
    <w:rsid w:val="00C61ACC"/>
  </w:style>
  <w:style w:type="paragraph" w:customStyle="1" w:styleId="EIlestpropconsidrant">
    <w:name w:val="E Il est prop (considérant)"/>
    <w:basedOn w:val="Normal"/>
    <w:qFormat/>
    <w:rsid w:val="00FD0425"/>
    <w:pPr>
      <w:ind w:left="3516" w:hanging="2063"/>
      <w:jc w:val="both"/>
    </w:pPr>
    <w:rPr>
      <w:caps/>
      <w:sz w:val="20"/>
    </w:rPr>
  </w:style>
  <w:style w:type="paragraph" w:customStyle="1" w:styleId="Equeconsidrant">
    <w:name w:val="E que (considérant)"/>
    <w:basedOn w:val="Normal"/>
    <w:qFormat/>
    <w:rsid w:val="00FD0425"/>
    <w:pPr>
      <w:ind w:firstLine="1453"/>
      <w:jc w:val="both"/>
    </w:pPr>
    <w:rPr>
      <w:sz w:val="20"/>
    </w:rPr>
  </w:style>
  <w:style w:type="paragraph" w:customStyle="1" w:styleId="Eattenduque">
    <w:name w:val="E attendu que"/>
    <w:basedOn w:val="Normal"/>
    <w:qFormat/>
    <w:rsid w:val="006C0D14"/>
    <w:pPr>
      <w:ind w:left="1453" w:hanging="1453"/>
      <w:jc w:val="both"/>
    </w:pPr>
    <w:rPr>
      <w:sz w:val="20"/>
    </w:rPr>
  </w:style>
  <w:style w:type="paragraph" w:customStyle="1" w:styleId="EIlestpropattenduque">
    <w:name w:val="E Il est prop (attendu que)"/>
    <w:basedOn w:val="Normal"/>
    <w:qFormat/>
    <w:rsid w:val="006C0D14"/>
    <w:pPr>
      <w:ind w:left="3516" w:hanging="2063"/>
      <w:jc w:val="both"/>
    </w:pPr>
    <w:rPr>
      <w:caps/>
      <w:sz w:val="20"/>
    </w:rPr>
  </w:style>
  <w:style w:type="paragraph" w:customStyle="1" w:styleId="Equeattenduque">
    <w:name w:val="E que (attendu que)"/>
    <w:basedOn w:val="Normal"/>
    <w:qFormat/>
    <w:rsid w:val="006C0D14"/>
    <w:pPr>
      <w:ind w:firstLine="1453"/>
      <w:jc w:val="both"/>
    </w:pPr>
    <w:rPr>
      <w:sz w:val="20"/>
    </w:rPr>
  </w:style>
  <w:style w:type="table" w:styleId="Grilledutableau">
    <w:name w:val="Table Grid"/>
    <w:basedOn w:val="TableauNormal"/>
    <w:rsid w:val="00C61ACC"/>
    <w:pPr>
      <w:spacing w:after="0" w:line="240" w:lineRule="auto"/>
    </w:pPr>
    <w:rPr>
      <w:rFonts w:eastAsia="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lestpropos">
    <w:name w:val="E Il est proposé"/>
    <w:basedOn w:val="EIlestpropconsidrant"/>
    <w:qFormat/>
    <w:rsid w:val="00C61ACC"/>
  </w:style>
  <w:style w:type="paragraph" w:customStyle="1" w:styleId="Eattendu">
    <w:name w:val="E attendu"/>
    <w:basedOn w:val="Normal"/>
    <w:qFormat/>
    <w:rsid w:val="006C0D14"/>
    <w:pPr>
      <w:ind w:left="1028" w:hanging="1028"/>
      <w:jc w:val="both"/>
    </w:pPr>
    <w:rPr>
      <w:sz w:val="20"/>
    </w:rPr>
  </w:style>
  <w:style w:type="paragraph" w:customStyle="1" w:styleId="EIlestpropattendu">
    <w:name w:val="E Il est prop (attendu)"/>
    <w:basedOn w:val="Normal"/>
    <w:qFormat/>
    <w:rsid w:val="006C0D14"/>
    <w:pPr>
      <w:ind w:left="1028"/>
    </w:pPr>
    <w:rPr>
      <w:sz w:val="20"/>
    </w:rPr>
  </w:style>
  <w:style w:type="paragraph" w:customStyle="1" w:styleId="Equeattendu">
    <w:name w:val="E que (attendu)"/>
    <w:basedOn w:val="Normal"/>
    <w:qFormat/>
    <w:rsid w:val="006C0D14"/>
    <w:pPr>
      <w:ind w:firstLine="1028"/>
      <w:jc w:val="both"/>
    </w:pPr>
    <w:rPr>
      <w:sz w:val="20"/>
    </w:rPr>
  </w:style>
  <w:style w:type="paragraph" w:customStyle="1" w:styleId="ilestproposattendu">
    <w:name w:val="il est proposé (attendu)"/>
    <w:basedOn w:val="Normal"/>
    <w:rsid w:val="000E26D9"/>
    <w:pPr>
      <w:ind w:left="1191"/>
      <w:jc w:val="both"/>
    </w:pPr>
  </w:style>
  <w:style w:type="paragraph" w:customStyle="1" w:styleId="ATTENDUQUERGLEMENT">
    <w:name w:val="ATTENDU QUE(RÈGLEMENT)"/>
    <w:basedOn w:val="Normal"/>
    <w:rsid w:val="000E26D9"/>
    <w:pPr>
      <w:tabs>
        <w:tab w:val="left" w:pos="3261"/>
      </w:tabs>
      <w:ind w:left="1758" w:hanging="1758"/>
      <w:jc w:val="both"/>
    </w:pPr>
  </w:style>
  <w:style w:type="paragraph" w:customStyle="1" w:styleId="attendurglement">
    <w:name w:val="attendu (règlement)"/>
    <w:basedOn w:val="ATTENDUQUERGLEMENT"/>
    <w:rsid w:val="000E26D9"/>
    <w:pPr>
      <w:ind w:left="1191" w:hanging="1191"/>
    </w:pPr>
  </w:style>
  <w:style w:type="paragraph" w:customStyle="1" w:styleId="RAttenduque">
    <w:name w:val="R Attendu que"/>
    <w:basedOn w:val="Normal"/>
    <w:qFormat/>
    <w:rsid w:val="0062341B"/>
    <w:pPr>
      <w:ind w:left="2062" w:hanging="1843"/>
      <w:jc w:val="both"/>
    </w:pPr>
    <w:rPr>
      <w:rFonts w:eastAsiaTheme="minorHAnsi" w:cstheme="minorBidi"/>
      <w:szCs w:val="24"/>
      <w:lang w:eastAsia="en-US"/>
    </w:rPr>
  </w:style>
  <w:style w:type="paragraph" w:customStyle="1" w:styleId="Rarticle1TEXTE">
    <w:name w:val="R article 1 TEXTE"/>
    <w:basedOn w:val="Normal"/>
    <w:qFormat/>
    <w:rsid w:val="0062341B"/>
    <w:pPr>
      <w:ind w:left="219"/>
      <w:jc w:val="both"/>
    </w:pPr>
    <w:rPr>
      <w:rFonts w:eastAsiaTheme="minorHAnsi" w:cstheme="minorBidi"/>
      <w:szCs w:val="24"/>
      <w:lang w:eastAsia="en-US"/>
    </w:rPr>
  </w:style>
  <w:style w:type="paragraph" w:styleId="En-tte">
    <w:name w:val="header"/>
    <w:basedOn w:val="Normal"/>
    <w:link w:val="En-tteCar"/>
    <w:uiPriority w:val="99"/>
    <w:unhideWhenUsed/>
    <w:rsid w:val="004779DC"/>
    <w:pPr>
      <w:tabs>
        <w:tab w:val="center" w:pos="4320"/>
        <w:tab w:val="right" w:pos="8640"/>
      </w:tabs>
    </w:pPr>
  </w:style>
  <w:style w:type="character" w:customStyle="1" w:styleId="En-tteCar">
    <w:name w:val="En-tête Car"/>
    <w:basedOn w:val="Policepardfaut"/>
    <w:link w:val="En-tte"/>
    <w:uiPriority w:val="99"/>
    <w:rsid w:val="004779DC"/>
    <w:rPr>
      <w:rFonts w:eastAsia="Times New Roman" w:cs="Times New Roman"/>
      <w:szCs w:val="20"/>
      <w:lang w:eastAsia="fr-CA"/>
    </w:rPr>
  </w:style>
  <w:style w:type="paragraph" w:styleId="Pieddepage">
    <w:name w:val="footer"/>
    <w:basedOn w:val="Normal"/>
    <w:link w:val="PieddepageCar"/>
    <w:uiPriority w:val="99"/>
    <w:unhideWhenUsed/>
    <w:rsid w:val="004779DC"/>
    <w:pPr>
      <w:tabs>
        <w:tab w:val="center" w:pos="4320"/>
        <w:tab w:val="right" w:pos="8640"/>
      </w:tabs>
    </w:pPr>
  </w:style>
  <w:style w:type="character" w:customStyle="1" w:styleId="PieddepageCar">
    <w:name w:val="Pied de page Car"/>
    <w:basedOn w:val="Policepardfaut"/>
    <w:link w:val="Pieddepage"/>
    <w:uiPriority w:val="99"/>
    <w:rsid w:val="004779DC"/>
    <w:rPr>
      <w:rFonts w:eastAsia="Times New Roman" w:cs="Times New Roman"/>
      <w:szCs w:val="20"/>
      <w:lang w:eastAsia="fr-CA"/>
    </w:rPr>
  </w:style>
  <w:style w:type="paragraph" w:customStyle="1" w:styleId="provincedeQubecrglement">
    <w:name w:val="province de Québec (règlement)"/>
    <w:basedOn w:val="Normal"/>
    <w:rsid w:val="00D81847"/>
    <w:pPr>
      <w:tabs>
        <w:tab w:val="left" w:pos="3261"/>
      </w:tabs>
      <w:ind w:left="-3119"/>
      <w:jc w:val="both"/>
    </w:pPr>
    <w:rPr>
      <w:caps/>
    </w:rPr>
  </w:style>
  <w:style w:type="paragraph" w:customStyle="1" w:styleId="querglement">
    <w:name w:val="que (règlement)"/>
    <w:basedOn w:val="ATTENDUQUERGLEMENT"/>
    <w:rsid w:val="00D81847"/>
    <w:pPr>
      <w:ind w:left="0" w:firstLine="1814"/>
    </w:pPr>
  </w:style>
  <w:style w:type="character" w:customStyle="1" w:styleId="ParagraphedelisteCar">
    <w:name w:val="Paragraphe de liste Car"/>
    <w:link w:val="Paragraphedeliste"/>
    <w:uiPriority w:val="34"/>
    <w:rsid w:val="007C0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e\Documents\Mod&#232;les%20Office%20personnalis&#233;s\feuille%20notari&#233;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232F8-2807-4C17-8982-8F1DC4674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feuille notariée</Template>
  <TotalTime>4</TotalTime>
  <Pages>3</Pages>
  <Words>439</Words>
  <Characters>2416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Lemery</dc:creator>
  <cp:keywords/>
  <dc:description/>
  <cp:lastModifiedBy>Anick Tourangeau</cp:lastModifiedBy>
  <cp:revision>4</cp:revision>
  <cp:lastPrinted>2023-12-12T18:56:00Z</cp:lastPrinted>
  <dcterms:created xsi:type="dcterms:W3CDTF">2023-12-12T18:50:00Z</dcterms:created>
  <dcterms:modified xsi:type="dcterms:W3CDTF">2025-05-21T17:25:00Z</dcterms:modified>
</cp:coreProperties>
</file>